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170" w:rsidRDefault="000A6170" w:rsidP="00E610AF">
      <w:pPr>
        <w:pStyle w:val="Heading3"/>
        <w:rPr>
          <w:szCs w:val="20"/>
          <w:shd w:val="clear" w:color="auto" w:fill="FFFFFF"/>
        </w:rPr>
      </w:pPr>
      <w:r w:rsidRPr="00E610AF">
        <w:rPr>
          <w:shd w:val="clear" w:color="auto" w:fill="FFFFFF"/>
          <w:lang w:val="en-US"/>
        </w:rPr>
        <w:t>Study Group 1.3 – Mineral property rights, regulations</w:t>
      </w:r>
      <w:r>
        <w:rPr>
          <w:shd w:val="clear" w:color="auto" w:fill="FFFFFF"/>
          <w:lang w:val="en-US"/>
        </w:rPr>
        <w:t xml:space="preserve"> and taxes</w:t>
      </w:r>
    </w:p>
    <w:p w:rsidR="000A6170" w:rsidRPr="00E610AF" w:rsidRDefault="000A6170">
      <w:pPr>
        <w:rPr>
          <w:rFonts w:ascii="Verdana" w:hAnsi="Verdana"/>
          <w:i/>
          <w:color w:val="000000"/>
          <w:sz w:val="20"/>
          <w:szCs w:val="20"/>
          <w:shd w:val="clear" w:color="auto" w:fill="FFFFFF"/>
          <w:lang w:val="fr-FR"/>
        </w:rPr>
      </w:pPr>
      <w:r w:rsidRPr="00E610AF">
        <w:rPr>
          <w:rFonts w:ascii="Verdana" w:hAnsi="Verdana"/>
          <w:i/>
          <w:color w:val="000000"/>
          <w:sz w:val="20"/>
          <w:szCs w:val="20"/>
          <w:shd w:val="clear" w:color="auto" w:fill="FFFFFF"/>
          <w:lang w:val="fr-FR"/>
        </w:rPr>
        <w:t xml:space="preserve">L´art de l´imposition consiste à plumer l´oie pour obtenir le plus possible de plumes avant d´obtenir le moins possible de cris. </w:t>
      </w:r>
    </w:p>
    <w:p w:rsidR="000A6170" w:rsidRDefault="000A6170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This quote of</w:t>
      </w:r>
      <w:r w:rsidRPr="00C07D4A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 Jean Baptiste Colbert, Chancellor of Louis XIV</w:t>
      </w:r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,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synthesises the primary objective of the many taxation policies available in the world on the exploration and development of oil and gas resources.</w:t>
      </w:r>
    </w:p>
    <w:p w:rsidR="000A6170" w:rsidRDefault="000A6170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The literature is rich in the description of models designed</w:t>
      </w:r>
      <w:r w:rsidRPr="00ED37B8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to maximise the intake of governments,</w:t>
      </w:r>
      <w:r w:rsidRPr="00E610A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under varied degrees of incertitude, and much of the art involved is related to the creation of an attractive atmosphere, which will actually develop a win-win situation for governments and serious investors.</w:t>
      </w:r>
    </w:p>
    <w:p w:rsidR="000A6170" w:rsidRDefault="000A6170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There are basically two fiscal regimes of relevance. In the </w:t>
      </w:r>
      <w:r w:rsidRPr="00E96096">
        <w:rPr>
          <w:rFonts w:ascii="Verdana" w:hAnsi="Verdana"/>
          <w:i/>
          <w:color w:val="000000"/>
          <w:sz w:val="20"/>
          <w:szCs w:val="20"/>
          <w:shd w:val="clear" w:color="auto" w:fill="FFFFFF"/>
        </w:rPr>
        <w:t>concession regime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the investor sells the production for a price, deducts costs, pays taxes and keeps what is left to himself. In the </w:t>
      </w:r>
      <w:r w:rsidRPr="00E96096">
        <w:rPr>
          <w:rFonts w:ascii="Verdana" w:hAnsi="Verdana"/>
          <w:i/>
          <w:color w:val="000000"/>
          <w:sz w:val="20"/>
          <w:szCs w:val="20"/>
          <w:shd w:val="clear" w:color="auto" w:fill="FFFFFF"/>
        </w:rPr>
        <w:t>sharing regime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, the operator receives part of the oil produced as a compensation for his costs, and another part of the production is passed on to him as a payment for his services, after taxes. Hybrid models are also possible.</w:t>
      </w:r>
    </w:p>
    <w:p w:rsidR="000A6170" w:rsidRDefault="000A6170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As to the fiscal instruments, a large arsenal is available, and usually a mixture of them is used, including signature bonuses, royalties and taxes on profits of varied nature, such as the resource rent taxes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Verdana" w:hAnsi="Verdana"/>
              <w:color w:val="000000"/>
              <w:sz w:val="20"/>
              <w:szCs w:val="20"/>
              <w:shd w:val="clear" w:color="auto" w:fill="FFFFFF"/>
            </w:rPr>
            <w:t>Australia</w:t>
          </w:r>
        </w:smartTag>
      </w:smartTag>
      <w:r>
        <w:rPr>
          <w:rFonts w:ascii="Verdana" w:hAnsi="Verdana"/>
          <w:color w:val="000000"/>
          <w:sz w:val="20"/>
          <w:szCs w:val="20"/>
          <w:shd w:val="clear" w:color="auto" w:fill="FFFFFF"/>
        </w:rPr>
        <w:t>. Even the obligation of acquiring goods and services in the local market can be used as a form of taxation.</w:t>
      </w:r>
    </w:p>
    <w:p w:rsidR="000A6170" w:rsidRDefault="000A6170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The exploration, development and production of gas reserves require nevertheless a differentiated treatment from fiscal policymakers, which must ensure a proper balance of risks and rewards to promote investment in domestic projects. And the conditions may vary dramatically from associated to non-associated gas, or if an NOC is included in the game.</w:t>
      </w:r>
    </w:p>
    <w:p w:rsidR="000A6170" w:rsidRPr="00E610AF" w:rsidRDefault="000A6170">
      <w:pP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This study group will analyse these instruments, comparing the solutions adopted by a number of countries, and the results obtained by them. </w:t>
      </w:r>
      <w:r w:rsidRPr="00E610AF"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 xml:space="preserve">Identification of regulatory tendencies, critical analysis of current exploratory models, and </w:t>
      </w:r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analyses of relevant case studies will be explored.</w:t>
      </w:r>
    </w:p>
    <w:p w:rsidR="000A6170" w:rsidRPr="005B2271" w:rsidRDefault="000A6170">
      <w:pPr>
        <w:rPr>
          <w:rFonts w:ascii="Verdana" w:hAnsi="Verdana"/>
          <w:b/>
          <w:color w:val="000000"/>
          <w:sz w:val="20"/>
          <w:szCs w:val="20"/>
          <w:shd w:val="clear" w:color="auto" w:fill="FFFFFF"/>
          <w:lang w:val="pt-BR"/>
        </w:rPr>
      </w:pPr>
      <w:r w:rsidRPr="005B2271">
        <w:rPr>
          <w:rFonts w:ascii="Verdana" w:hAnsi="Verdana"/>
          <w:b/>
          <w:color w:val="000000"/>
          <w:sz w:val="20"/>
          <w:szCs w:val="20"/>
          <w:shd w:val="clear" w:color="auto" w:fill="FFFFFF"/>
          <w:lang w:val="pt-BR"/>
        </w:rPr>
        <w:t>References</w:t>
      </w:r>
    </w:p>
    <w:p w:rsidR="000A6170" w:rsidRPr="00CB1604" w:rsidRDefault="000A6170">
      <w:pPr>
        <w:rPr>
          <w:rFonts w:ascii="Verdana" w:hAnsi="Verdana"/>
          <w:color w:val="000000"/>
          <w:sz w:val="20"/>
          <w:szCs w:val="20"/>
          <w:shd w:val="clear" w:color="auto" w:fill="FFFFFF"/>
          <w:lang w:val="pt-BR"/>
        </w:rPr>
      </w:pPr>
      <w:r w:rsidRPr="00CB1604">
        <w:rPr>
          <w:rFonts w:ascii="Verdana" w:hAnsi="Verdana"/>
          <w:color w:val="000000"/>
          <w:sz w:val="20"/>
          <w:szCs w:val="20"/>
          <w:shd w:val="clear" w:color="auto" w:fill="FFFFFF"/>
          <w:lang w:val="pt-BR"/>
        </w:rPr>
        <w:t>Barbosa D. H., Tributação do Petr</w:t>
      </w:r>
      <w:r>
        <w:rPr>
          <w:rFonts w:ascii="Verdana" w:hAnsi="Verdana"/>
          <w:color w:val="000000"/>
          <w:sz w:val="20"/>
          <w:szCs w:val="20"/>
          <w:shd w:val="clear" w:color="auto" w:fill="FFFFFF"/>
          <w:lang w:val="pt-BR"/>
        </w:rPr>
        <w:t>óleo no Brasil e em Outras Jurisdições, 2011.</w:t>
      </w:r>
    </w:p>
    <w:p w:rsidR="000A6170" w:rsidRDefault="000A6170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Kemp A. G., Petroleum Rent Collection Around the World, 1987.</w:t>
      </w:r>
    </w:p>
    <w:p w:rsidR="000A6170" w:rsidRPr="00EC24A8" w:rsidRDefault="000A6170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Kellas G., Natural gas: Experience and issues </w:t>
      </w:r>
      <w:r>
        <w:rPr>
          <w:rFonts w:ascii="Verdana" w:hAnsi="Verdana"/>
          <w:i/>
          <w:color w:val="000000"/>
          <w:sz w:val="20"/>
          <w:szCs w:val="20"/>
          <w:shd w:val="clear" w:color="auto" w:fill="FFFFFF"/>
        </w:rPr>
        <w:t>in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The taxation of petroleum and minerals: Principles, problems and practices, Routledge, 2010.</w:t>
      </w:r>
    </w:p>
    <w:p w:rsidR="000A6170" w:rsidRDefault="000A6170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Johnston D., International Petroleum Fiscal Systems and Production Sharing Contracts, 1994.</w:t>
      </w:r>
    </w:p>
    <w:p w:rsidR="000A6170" w:rsidRDefault="000A6170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Johnston D., International Exploration Economics, Risks and Contracts Analysis, 2003.</w:t>
      </w:r>
    </w:p>
    <w:p w:rsidR="000A6170" w:rsidRDefault="000A6170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Lovas K. and Osmundsen P., Trends and Trade-offs in Petroleum Taxation, 2009.</w:t>
      </w:r>
    </w:p>
    <w:p w:rsidR="000A6170" w:rsidRDefault="000A6170" w:rsidP="00CB1604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Nackle C., Petroleum Taxation. Sharing the Oil Wealth: A study of petroleum taxation yesterday, today and tomorrow, 2008.</w:t>
      </w:r>
    </w:p>
    <w:p w:rsidR="000A6170" w:rsidRDefault="000A6170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Tordo S., Fiscal Systems for Hydrocarbons, 2007.</w:t>
      </w:r>
    </w:p>
    <w:p w:rsidR="000A6170" w:rsidRPr="005C48E3" w:rsidRDefault="000A6170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Tordo S., Johnston D., Johnston D., Petroleum Exploration and Production Rights, 2009.</w:t>
      </w:r>
    </w:p>
    <w:sectPr w:rsidR="000A6170" w:rsidRPr="005C48E3" w:rsidSect="003C3E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?l?r ?S?V?b?N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E7CE8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9A604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2124F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FD2BD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3690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A4E61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18A7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8AA8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7AC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4480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0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4F12"/>
    <w:rsid w:val="00052114"/>
    <w:rsid w:val="000A6170"/>
    <w:rsid w:val="000B0012"/>
    <w:rsid w:val="0018252A"/>
    <w:rsid w:val="002356E8"/>
    <w:rsid w:val="003C3EA7"/>
    <w:rsid w:val="005B2271"/>
    <w:rsid w:val="005C48E3"/>
    <w:rsid w:val="00634666"/>
    <w:rsid w:val="006A1745"/>
    <w:rsid w:val="00736A92"/>
    <w:rsid w:val="00797BC7"/>
    <w:rsid w:val="00946BD2"/>
    <w:rsid w:val="00AE42BF"/>
    <w:rsid w:val="00B65F12"/>
    <w:rsid w:val="00C07D4A"/>
    <w:rsid w:val="00CB1604"/>
    <w:rsid w:val="00D15BFE"/>
    <w:rsid w:val="00E610AF"/>
    <w:rsid w:val="00E96096"/>
    <w:rsid w:val="00EC24A8"/>
    <w:rsid w:val="00ED37B8"/>
    <w:rsid w:val="00EE39BB"/>
    <w:rsid w:val="00F10EAE"/>
    <w:rsid w:val="00F23B28"/>
    <w:rsid w:val="00F52686"/>
    <w:rsid w:val="00F74F12"/>
    <w:rsid w:val="00FC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610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eastAsia="MS Gothic" w:hAnsi="Cambria"/>
      <w:b/>
      <w:sz w:val="26"/>
      <w:lang w:val="en-GB" w:eastAsia="en-US"/>
    </w:rPr>
  </w:style>
  <w:style w:type="paragraph" w:styleId="ListContinue">
    <w:name w:val="List Continue"/>
    <w:basedOn w:val="Normal"/>
    <w:uiPriority w:val="99"/>
    <w:rsid w:val="00E610AF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237</TotalTime>
  <Pages>2</Pages>
  <Words>455</Words>
  <Characters>2458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de Freitas Sugaya</dc:creator>
  <cp:keywords/>
  <dc:description/>
  <cp:lastModifiedBy>Marcos de Freitas Sugaya</cp:lastModifiedBy>
  <cp:revision>7</cp:revision>
  <dcterms:created xsi:type="dcterms:W3CDTF">2012-05-25T22:07:00Z</dcterms:created>
  <dcterms:modified xsi:type="dcterms:W3CDTF">2012-06-05T07:54:00Z</dcterms:modified>
</cp:coreProperties>
</file>